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C89E24" w14:textId="77777777" w:rsidR="000F0485" w:rsidRDefault="000F0485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6B0820" w14:textId="77777777" w:rsidR="00041821" w:rsidRDefault="00041821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7A11CFE3" w14:textId="77777777" w:rsidR="00D2324D" w:rsidRDefault="00D2324D" w:rsidP="00422832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14:paraId="18613007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14:paraId="637C3A0F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78851B18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F57FD1" w14:textId="53D9978D" w:rsidR="00A24BF1" w:rsidRPr="00A24BF1" w:rsidRDefault="00422832" w:rsidP="00422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749"/>
          <w:tab w:val="left" w:pos="5496"/>
          <w:tab w:val="left" w:pos="6412"/>
          <w:tab w:val="left" w:pos="67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 07.листопада 2025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№3412-УІІІ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354C4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F69A9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E26FA50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>Про затвердження Фінансового плану КОМУНАЛЬНОГО НЕКОМЕРЦІЙНОГО ПІДПРИЄМСТВА «ЦЕНТР ПЕРВИННОЇ МЕДИКО-САНІТАРНОЇ ДОПОМОГИ» ФОНТАНСЬКОЇ СІЛЬСЬКОЇ РАДИ ОДЕСЬКОГО РАЙОНУ ОДЕСЬКОЇ ОБЛАСТІ на 2025 рік</w:t>
      </w:r>
    </w:p>
    <w:p w14:paraId="485DB231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4D89E78E" w14:textId="191C5AB5" w:rsidR="00E126CD" w:rsidRDefault="00204E55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ст. 26 ч.1 ст. 59 Закону України «Про місцеве самоврядування в Україні», з метою забезпечення ефективного  функціонування та ефективного використання коштів з місцевого бюджету КНП «ЦПМСД» ФОНТАНСЬКОЇ СІЛЬСЬКОЇ РАДИ ОДЕСЬКОГО РАЙОНУ ОДЕСЬКОЇ ОБЛАСТІ, відповідно до Порядку складання, затвердження та контролю фінансового плану суб’єкта господарювання державного сектору економіки, </w:t>
      </w:r>
      <w:r w:rsidRPr="00E126CD"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 xml:space="preserve"> наказом Міністерства економічного розвитку і торгівлі України від 02 березня 2015 року № 205 (у редакції наказу Міністерства розвитку економіки, торгівлі та сільського господарства України від 22 січня 2021 року № 122), керуючись ст. 89 Бюджетного Кодексу України, Фонтанська сільська  рада Одеського району Одеської області,-</w:t>
      </w:r>
    </w:p>
    <w:p w14:paraId="56609A29" w14:textId="77777777" w:rsidR="00AA41AF" w:rsidRPr="00E126CD" w:rsidRDefault="00AA41AF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84FFB0" w14:textId="77777777" w:rsidR="00E126CD" w:rsidRPr="00AA41AF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AA41AF">
        <w:rPr>
          <w:rFonts w:ascii="Times New Roman" w:eastAsia="Times New Roman" w:hAnsi="Times New Roman" w:cs="Times New Roman"/>
          <w:b/>
          <w:bCs/>
          <w:sz w:val="28"/>
          <w:szCs w:val="28"/>
        </w:rPr>
        <w:t>В И Р І Ш И Л А:</w:t>
      </w:r>
    </w:p>
    <w:p w14:paraId="0F51D942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ab/>
        <w:t>1. Затвердити проект Фінансового плану КОМУНАЛЬНОГО НЕКОМЕРЦІЙНОГО ПІДПРИЄМСТВА «ЦЕНТР ПЕРВИННОЇ МЕДИКО-САНІТАРНОЇ ДОПОМОГИ» ФОНТАНСЬКОЇ СІЛЬСЬКОЇ РАДИ ОДЕСЬКОГО РАЙОНУ ОДЕСЬКОЇ ОБЛАСТІ на 2025 рік, (Додаток №1 до рішення).</w:t>
      </w:r>
    </w:p>
    <w:p w14:paraId="5208760B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ab/>
        <w:t>2. Контроль за виконанням даного рішення  покласти на постійну комісію з питань фінансів, бюджету, планування соціально-економічного розвитку, інвестицій та міжнародного співробітництва (заступник голови комісії Альона ВАВІЛОВА).</w:t>
      </w:r>
    </w:p>
    <w:p w14:paraId="29A55F43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94AA2F" w14:textId="24D47F24" w:rsidR="00A24BF1" w:rsidRPr="00A24BF1" w:rsidRDefault="00422832" w:rsidP="00422832">
      <w:pPr>
        <w:tabs>
          <w:tab w:val="left" w:pos="916"/>
          <w:tab w:val="left" w:pos="1832"/>
          <w:tab w:val="left" w:pos="2748"/>
          <w:tab w:val="left" w:pos="2832"/>
          <w:tab w:val="left" w:pos="3540"/>
          <w:tab w:val="left" w:pos="424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В.о.сільського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Андрій СЕРЕБРІЙ</w:t>
      </w:r>
    </w:p>
    <w:p w14:paraId="54518A11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2A8278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DC1CB3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45B01B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81D4A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EC8B4A8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37E933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8568DB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0498A8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F8CA9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CC7007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2389ED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86F8DD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29FD2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04B3D8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9C99F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845674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8EB75B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BAB21D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E22B5F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E74DA5B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1AEDB5D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C55A7C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B8409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83AD0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8769C28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2B2664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0450C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108810B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9750F18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2867A1A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6E4070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C456CD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A6108B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335AD8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8CF6F4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6FCF0E3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DC10B23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8F297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0561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0561AE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DF8014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412C12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1E546F" w14:textId="77777777" w:rsidR="00422832" w:rsidRDefault="00422832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199DD53" w14:textId="77777777" w:rsidR="00422832" w:rsidRDefault="00422832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CC7910" w14:textId="77777777" w:rsidR="00422832" w:rsidRDefault="00422832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D4D58B2" w14:textId="77777777" w:rsidR="00422832" w:rsidRDefault="00422832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92053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  <w:r w:rsidRPr="00A24BF1">
        <w:rPr>
          <w:rFonts w:ascii="Times New Roman" w:eastAsia="Times New Roman" w:hAnsi="Times New Roman" w:cs="Times New Roman"/>
          <w:sz w:val="28"/>
          <w:szCs w:val="28"/>
        </w:rPr>
        <w:lastRenderedPageBreak/>
        <w:t>ПОГОДЖЕНО:</w:t>
      </w:r>
    </w:p>
    <w:p w14:paraId="13DE956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1741E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Перший заступник сільського голови                                     Роман ОРІШИЧ</w:t>
      </w:r>
    </w:p>
    <w:p w14:paraId="6048037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(Підпис, дата),                                                                           </w:t>
      </w:r>
    </w:p>
    <w:p w14:paraId="45B9260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F48673" w14:textId="164C0BB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Володимир КРИВОШЕЄНКО </w:t>
      </w:r>
    </w:p>
    <w:p w14:paraId="41D6D48D" w14:textId="60F231E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(Підпис,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9A4F8EA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8EE2516" w14:textId="3FCAE200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0803A0D2" w14:textId="77777777" w:rsidR="00FE2C16" w:rsidRPr="00FE2C16" w:rsidRDefault="00FE2C16" w:rsidP="00FE2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FE2C16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                   Євгеній ФАТЕНКОВ </w:t>
      </w:r>
    </w:p>
    <w:p w14:paraId="4A7C4E6A" w14:textId="0E3D53B6" w:rsidR="00FE2C16" w:rsidRDefault="00FE2C16" w:rsidP="00FE2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FE2C1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(Підпис, дата)                                                                            </w:t>
      </w:r>
    </w:p>
    <w:p w14:paraId="2C510A1E" w14:textId="77777777" w:rsidR="00FE2C16" w:rsidRDefault="00FE2C1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311B566" w14:textId="1DD916EB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14:paraId="3969065D" w14:textId="7553DC99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              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Олександр ЩЕРБИЧ </w:t>
      </w:r>
    </w:p>
    <w:p w14:paraId="0D25DE6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</w:p>
    <w:p w14:paraId="00D0D2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2CA7D6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D39607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бухгалтерського </w:t>
      </w:r>
    </w:p>
    <w:p w14:paraId="0D356CE1" w14:textId="6C14CEF1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Обліку та фінансової звітності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Тетяна МИХАЙЛОВА</w:t>
      </w:r>
    </w:p>
    <w:p w14:paraId="559EA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1E3A1C4" w14:textId="2A45E755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4C1B2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5D93C8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9F3AE4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3472C712" w14:textId="71CA625B" w:rsidR="00A24BF1" w:rsidRPr="00A24BF1" w:rsidRDefault="0067235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67235C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фінансів                                                 </w:t>
      </w:r>
      <w:r w:rsidR="00346496" w:rsidRPr="00346496">
        <w:rPr>
          <w:rFonts w:ascii="Times New Roman" w:eastAsia="Times New Roman" w:hAnsi="Times New Roman" w:cs="Times New Roman"/>
          <w:sz w:val="28"/>
          <w:szCs w:val="28"/>
        </w:rPr>
        <w:t>Євгенія КУРМЕЙ</w:t>
      </w:r>
    </w:p>
    <w:p w14:paraId="324BC41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AFB726" w14:textId="70FB1570" w:rsidR="00A24BF1" w:rsidRPr="00A24BF1" w:rsidRDefault="0067235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67235C">
        <w:rPr>
          <w:rFonts w:ascii="Times New Roman" w:eastAsia="Times New Roman" w:hAnsi="Times New Roman" w:cs="Times New Roman"/>
          <w:sz w:val="28"/>
          <w:szCs w:val="28"/>
        </w:rPr>
        <w:t>(Підпис,  дата)</w:t>
      </w:r>
      <w:r w:rsidRPr="0067235C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94A1B4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DF006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AE79EF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4E9D61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D7D705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BA3BE5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33693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57043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26F10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FC93C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329E70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711286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311F722" w14:textId="17F4D80D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14:paraId="5342B4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Директор   КНП «ЦПМСД»                                                   Юрій МАНДРИК </w:t>
      </w:r>
    </w:p>
    <w:p w14:paraId="410EF60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026AD9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D75020" w14:textId="55C9F906" w:rsidR="00D2324D" w:rsidRDefault="00D2324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029ABA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9AAD8D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8EC6C77" w14:textId="77777777" w:rsidR="005652ED" w:rsidRDefault="00030C2A" w:rsidP="005652ED">
      <w:pPr>
        <w:jc w:val="center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 w:rsidRPr="003B1059">
        <w:t xml:space="preserve"> </w:t>
      </w:r>
      <w:r w:rsidR="005652ED">
        <w:rPr>
          <w:rFonts w:ascii="Times New Roman" w:hAnsi="Times New Roman" w:cs="Times New Roman"/>
          <w:b/>
          <w:bCs/>
          <w:sz w:val="28"/>
          <w:szCs w:val="28"/>
        </w:rPr>
        <w:t xml:space="preserve">Пояснювальна записка до фінансового плану </w:t>
      </w:r>
    </w:p>
    <w:p w14:paraId="210A023A" w14:textId="77777777" w:rsidR="005652ED" w:rsidRDefault="005652ED" w:rsidP="005652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КНП «ЦПМСД» ФОНТАНСЬКОЇ СІЛЬСЬКОЇ РАДИ ОДЕСЬКОГО РАЙОНУ ОДЕСЬКОЇ ОБЛАСТІ</w:t>
      </w:r>
    </w:p>
    <w:p w14:paraId="180426CA" w14:textId="77777777" w:rsidR="005652ED" w:rsidRDefault="005652ED" w:rsidP="005652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2025 рік</w:t>
      </w:r>
    </w:p>
    <w:p w14:paraId="7250E44D" w14:textId="77777777" w:rsidR="005652ED" w:rsidRDefault="005652ED" w:rsidP="005652ED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КОМУНАЛЬНЕ НЕКОМЕРЦІЙНЕ ПІДПРИЄМСТВО «ЦЕНТР ПЕРВИННОЇ МЕДИКО-САНІТАРНОЇ ДОПОМОГИ» ФОНТАНСЬКОЇ СІЛЬСЬКОЇ РАДИ ОДЕСЬКОГО РАЙОНУ ОДЕСЬКОЇ ОБЛАСТІ (далі – Підприємство) є закладом охорони здоров’я -комунальним унітарним некомерційним підприємством, що надає первинну медичну допомогу та здійснює управління медичним обслуговуванням населення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Курісовської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, вживає заходи з профілактики захворювань населення та підтримки громадського здоров’я.</w:t>
      </w:r>
    </w:p>
    <w:p w14:paraId="245364C5" w14:textId="77777777" w:rsidR="005652ED" w:rsidRDefault="005652ED" w:rsidP="005652ED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14:paraId="2E4DAAB7" w14:textId="77777777" w:rsidR="005652ED" w:rsidRDefault="005652ED" w:rsidP="005652ED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Засновником та Власником Підприємства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територіальна громада. </w:t>
      </w:r>
    </w:p>
    <w:p w14:paraId="749AFD74" w14:textId="77777777" w:rsidR="005652ED" w:rsidRDefault="005652ED" w:rsidP="005652ED">
      <w:pPr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Загальна кількість штатних одиниць згідно штатного розпису складає 70,5, в т.ч. адміністративно-управлінський персонал – 16од, лікарський персонал – 18,5 од, середній медичний персонал - 23 од, молодший медичний персонал –7од, інший персонал – 6 од.</w:t>
      </w:r>
    </w:p>
    <w:p w14:paraId="78FA3636" w14:textId="77777777" w:rsidR="005652ED" w:rsidRDefault="005652ED" w:rsidP="005652E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складу центру входить 5 амбулаторій та 3 фельдшерсько-акушерських пунктів та фельдшерських пунктів.</w:t>
      </w:r>
    </w:p>
    <w:p w14:paraId="31FEA530" w14:textId="77777777" w:rsidR="005652ED" w:rsidRDefault="005652ED" w:rsidP="005652ED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Дохідна частина фінансового плану на 2025 рік зменшилася на 885,131 тис грн та складає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23 305,72 </w:t>
      </w:r>
      <w:r>
        <w:rPr>
          <w:rFonts w:ascii="Times New Roman" w:hAnsi="Times New Roman" w:cs="Times New Roman"/>
          <w:b/>
          <w:bCs/>
          <w:sz w:val="28"/>
          <w:szCs w:val="28"/>
        </w:rPr>
        <w:t>тис. грн</w:t>
      </w:r>
      <w:r>
        <w:rPr>
          <w:rFonts w:ascii="Times New Roman" w:hAnsi="Times New Roman" w:cs="Times New Roman"/>
          <w:sz w:val="28"/>
          <w:szCs w:val="28"/>
        </w:rPr>
        <w:t>., кошти від Програми медичних гарантів (кошти НСЗУ)-</w:t>
      </w:r>
      <w:r>
        <w:rPr>
          <w:rFonts w:ascii="Times New Roman" w:hAnsi="Times New Roman" w:cs="Times New Roman"/>
          <w:b/>
          <w:bCs/>
          <w:sz w:val="28"/>
          <w:szCs w:val="28"/>
        </w:rPr>
        <w:t>15230,70 тис грн</w:t>
      </w:r>
      <w:r>
        <w:rPr>
          <w:rFonts w:ascii="Times New Roman" w:hAnsi="Times New Roman" w:cs="Times New Roman"/>
          <w:sz w:val="28"/>
          <w:szCs w:val="28"/>
        </w:rPr>
        <w:t>, кошти місцевого бюджету-</w:t>
      </w:r>
      <w:r>
        <w:rPr>
          <w:rFonts w:ascii="Times New Roman" w:hAnsi="Times New Roman" w:cs="Times New Roman"/>
          <w:b/>
          <w:bCs/>
          <w:sz w:val="28"/>
          <w:szCs w:val="28"/>
        </w:rPr>
        <w:t>7531,83тис грн</w:t>
      </w:r>
      <w:r>
        <w:rPr>
          <w:rFonts w:ascii="Times New Roman" w:hAnsi="Times New Roman" w:cs="Times New Roman"/>
          <w:sz w:val="28"/>
          <w:szCs w:val="28"/>
        </w:rPr>
        <w:t>, власні кошти (кошти від здачі в оренду приміщення)-</w:t>
      </w:r>
      <w:r>
        <w:rPr>
          <w:rFonts w:ascii="Times New Roman" w:hAnsi="Times New Roman" w:cs="Times New Roman"/>
          <w:b/>
          <w:bCs/>
          <w:sz w:val="28"/>
          <w:szCs w:val="28"/>
        </w:rPr>
        <w:t>543,19 тис грн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1113E7C0" w14:textId="77777777" w:rsidR="005652ED" w:rsidRDefault="005652ED" w:rsidP="005652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рядок 1020</w:t>
      </w:r>
      <w:r>
        <w:rPr>
          <w:rFonts w:ascii="Times New Roman" w:hAnsi="Times New Roman" w:cs="Times New Roman"/>
          <w:sz w:val="28"/>
          <w:szCs w:val="28"/>
        </w:rPr>
        <w:t xml:space="preserve"> -оплата за надання медичних послуг від Національної служби здоров’я України згідно Договору про медичне обслуговування населення за Програмою медичних гарантій </w:t>
      </w:r>
      <w:r>
        <w:rPr>
          <w:rFonts w:ascii="Times New Roman" w:hAnsi="Times New Roman" w:cs="Times New Roman"/>
          <w:b/>
          <w:bCs/>
          <w:sz w:val="28"/>
          <w:szCs w:val="28"/>
        </w:rPr>
        <w:t>– 15230,70тис.грн</w:t>
      </w:r>
      <w:r>
        <w:rPr>
          <w:rFonts w:ascii="Times New Roman" w:hAnsi="Times New Roman" w:cs="Times New Roman"/>
          <w:sz w:val="28"/>
          <w:szCs w:val="28"/>
        </w:rPr>
        <w:t>,, що становить 85,8 % від надходження за 2024 рік (17758,69 тис грн);</w:t>
      </w:r>
    </w:p>
    <w:p w14:paraId="43AE64E6" w14:textId="77777777" w:rsidR="005652ED" w:rsidRDefault="005652ED" w:rsidP="005652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-рядок 1030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>7531,83тис грн</w:t>
      </w:r>
      <w:r>
        <w:rPr>
          <w:rFonts w:ascii="Times New Roman" w:hAnsi="Times New Roman" w:cs="Times New Roman"/>
          <w:sz w:val="28"/>
          <w:szCs w:val="28"/>
        </w:rPr>
        <w:t xml:space="preserve"> «Дохід з місцевого бюджету за цільовою програмою» становить 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7296,00 тис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місцевий бюджет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та місцевий бюджет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Курісовської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ради-235,83 тис грн, доходи зменшилися на 885,131 тис грн за рахунок зменшення субвенції від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Курісовської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Березівського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району Одеської області, так як вони відокремлюють структурні підрозділи, які знаходяться на їхній території відповідно до рішення сесії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Одеського району Одеської області від 22.05.2025 року №3138-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bCs/>
          <w:sz w:val="28"/>
          <w:szCs w:val="28"/>
        </w:rPr>
        <w:t>/</w:t>
      </w:r>
    </w:p>
    <w:p w14:paraId="1461B595" w14:textId="77777777" w:rsidR="005652ED" w:rsidRDefault="005652ED" w:rsidP="005652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рядок 1040</w:t>
      </w:r>
      <w:r>
        <w:rPr>
          <w:rFonts w:ascii="Times New Roman" w:hAnsi="Times New Roman" w:cs="Times New Roman"/>
          <w:sz w:val="28"/>
          <w:szCs w:val="28"/>
        </w:rPr>
        <w:t xml:space="preserve">-«Інші надходження» (оплата від оренди приміщення)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543,19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37FC96F" w14:textId="77777777" w:rsidR="005652ED" w:rsidRDefault="005652ED" w:rsidP="005652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Витратна частина фінансового плану на 2025 рік планується-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23 305,72 тис </w:t>
      </w:r>
      <w:r>
        <w:rPr>
          <w:rFonts w:ascii="Times New Roman" w:hAnsi="Times New Roman" w:cs="Times New Roman"/>
          <w:sz w:val="28"/>
          <w:szCs w:val="28"/>
        </w:rPr>
        <w:t xml:space="preserve"> грн.,  яка складається з наступних витрат:</w:t>
      </w:r>
    </w:p>
    <w:p w14:paraId="585F528F" w14:textId="77777777" w:rsidR="005652ED" w:rsidRDefault="005652ED" w:rsidP="005652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 1051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сировину та основні матеріали (медикаменти та перев’язувальні матеріали, предмети, матеріали, обладнання та інвентар у т. ч. м'який інвентар, запасні частини до транспортних засобів, витрати на паливо)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– 2179,91тис. грн, в тому числі 1444,91 тис -місцевий бюджет та 1035,00 тис грн кошти НСЗУ) 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BEF0A5E" w14:textId="77777777" w:rsidR="005652ED" w:rsidRDefault="005652ED" w:rsidP="005652E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 1055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витрати на оплату комунальних послуг (за водопостачання, електроенергію, природний газ, тверде паливо)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1076,945тис. грн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7C6DB0DB" w14:textId="77777777" w:rsidR="005652ED" w:rsidRDefault="005652ED" w:rsidP="005652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рядок-1052 та 1053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витрати на оплату праці та відрахування ЄСВ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15564,78 тис .грн кошти НСЗУ , та з місцевого бюджету складає-1941,37 тис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(кошти місцевого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Курісовської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ради)на оплату стимулювання праці працівників закладу;</w:t>
      </w:r>
    </w:p>
    <w:p w14:paraId="1726B34D" w14:textId="77777777" w:rsidR="005652ED" w:rsidRDefault="005652ED" w:rsidP="005652E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 1056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1089,28 тис грн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інші витрати (послуги зв`язку, послуги інтернет-провайдерів, обслуговування, ремонт медичного обладнання, офісної техніки, , витрати на охорону праці, повірка медичного, витрати на пожежну сигналізацію, </w:t>
      </w:r>
      <w:r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>оплату послуг з монтажу та  установки системи відеоспостереження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2B9609F" w14:textId="77777777" w:rsidR="005652ED" w:rsidRDefault="005652ED" w:rsidP="005652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рядок-1057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витрати на пільгові ліки згідно Постанови Кабінету Міністрів України від 17.08.1998 року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1235,328 тис.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(кошти місцевого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ради-1180,798тис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Курісовської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ради-54,53 тис грн)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;</w:t>
      </w:r>
    </w:p>
    <w:p w14:paraId="5CBC90D2" w14:textId="77777777" w:rsidR="005652ED" w:rsidRDefault="005652ED" w:rsidP="005652E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амортизація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440,00тис.грн.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0CB90E" w14:textId="77777777" w:rsidR="005652ED" w:rsidRDefault="005652ED" w:rsidP="005652E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Витратна частина фінансового плану не перевищує дохідну частину.</w:t>
      </w:r>
    </w:p>
    <w:p w14:paraId="08243617" w14:textId="77777777" w:rsidR="005652ED" w:rsidRDefault="005652ED" w:rsidP="005652ED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3BC853" w14:textId="77777777" w:rsidR="005652ED" w:rsidRDefault="005652ED" w:rsidP="005652E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810C4B" w14:textId="77777777" w:rsidR="005652ED" w:rsidRDefault="005652ED" w:rsidP="00565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КНП « ЦПМСД»                                       Юрій МАНДРИК</w:t>
      </w:r>
    </w:p>
    <w:p w14:paraId="3CAA5AF3" w14:textId="7AC2D9DB" w:rsidR="003B1059" w:rsidRPr="00B00511" w:rsidRDefault="003B1059" w:rsidP="00030C2A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3B1059" w:rsidRPr="00B0051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4D"/>
    <w:rsid w:val="00001371"/>
    <w:rsid w:val="00030C2A"/>
    <w:rsid w:val="00041821"/>
    <w:rsid w:val="000F0485"/>
    <w:rsid w:val="00204E55"/>
    <w:rsid w:val="002C4573"/>
    <w:rsid w:val="002E5975"/>
    <w:rsid w:val="00346496"/>
    <w:rsid w:val="003B1059"/>
    <w:rsid w:val="004050F3"/>
    <w:rsid w:val="00422832"/>
    <w:rsid w:val="004A65EC"/>
    <w:rsid w:val="0054589C"/>
    <w:rsid w:val="005652ED"/>
    <w:rsid w:val="005F1C8D"/>
    <w:rsid w:val="00615DBB"/>
    <w:rsid w:val="0067235C"/>
    <w:rsid w:val="00755144"/>
    <w:rsid w:val="007761BB"/>
    <w:rsid w:val="007B5EFD"/>
    <w:rsid w:val="00823C5F"/>
    <w:rsid w:val="008A0B9B"/>
    <w:rsid w:val="008F5608"/>
    <w:rsid w:val="00935B40"/>
    <w:rsid w:val="00A24BF1"/>
    <w:rsid w:val="00A82661"/>
    <w:rsid w:val="00AA41AF"/>
    <w:rsid w:val="00AA79D6"/>
    <w:rsid w:val="00B00511"/>
    <w:rsid w:val="00B57EA6"/>
    <w:rsid w:val="00B750AD"/>
    <w:rsid w:val="00C615C9"/>
    <w:rsid w:val="00C93332"/>
    <w:rsid w:val="00CA1685"/>
    <w:rsid w:val="00CF32C7"/>
    <w:rsid w:val="00D2324D"/>
    <w:rsid w:val="00E0209D"/>
    <w:rsid w:val="00E126CD"/>
    <w:rsid w:val="00EC1538"/>
    <w:rsid w:val="00F07222"/>
    <w:rsid w:val="00FA150C"/>
    <w:rsid w:val="00FE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1085</Words>
  <Characters>6187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Bondarenko</cp:lastModifiedBy>
  <cp:revision>7</cp:revision>
  <cp:lastPrinted>2025-07-02T07:29:00Z</cp:lastPrinted>
  <dcterms:created xsi:type="dcterms:W3CDTF">2025-10-10T08:12:00Z</dcterms:created>
  <dcterms:modified xsi:type="dcterms:W3CDTF">2025-12-05T10:00:00Z</dcterms:modified>
</cp:coreProperties>
</file>